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  <w:t xml:space="preserve">Регламент регистрации субъектов в региональной информационной системе в сфере закупок товаров, работ, услуг для обеспечения государственных нужд Саратовской области</w:t>
      </w:r>
      <w:r>
        <w:rPr>
          <w:rFonts w:ascii="PT Astra Serif" w:hAnsi="PT Astra Serif" w:cs="PT Astra Serif"/>
        </w:rPr>
      </w:r>
      <w:r/>
    </w:p>
    <w:p>
      <w:pPr>
        <w:ind w:firstLine="0"/>
        <w:jc w:val="center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/>
    </w:p>
    <w:p>
      <w:pPr>
        <w:ind w:firstLine="540"/>
        <w:rPr>
          <w:rFonts w:ascii="PT Astra Serif" w:hAnsi="PT Astra Serif" w:cs="PT Astra Serif" w:eastAsiaTheme="minorHAnsi"/>
          <w:highlight w:val="none"/>
        </w:rPr>
      </w:pPr>
      <w:r>
        <w:rPr>
          <w:rFonts w:ascii="PT Astra Serif" w:hAnsi="PT Astra Serif" w:cs="PT Astra Serif" w:eastAsiaTheme="minorHAnsi"/>
        </w:rPr>
        <w:t xml:space="preserve">1. Общие положения.</w:t>
      </w:r>
      <w:r>
        <w:rPr>
          <w:rFonts w:ascii="PT Astra Serif" w:hAnsi="PT Astra Serif" w:cs="PT Astra Serif"/>
        </w:rPr>
      </w:r>
      <w:r/>
    </w:p>
    <w:p>
      <w:pPr>
        <w:ind w:firstLine="540"/>
        <w:rPr>
          <w:rFonts w:ascii="PT Astra Serif" w:hAnsi="PT Astra Serif" w:cs="PT Astra Serif" w:eastAsiaTheme="minorHAnsi"/>
          <w:highlight w:val="none"/>
        </w:rPr>
      </w:pPr>
      <w:r>
        <w:rPr>
          <w:rFonts w:ascii="PT Astra Serif" w:hAnsi="PT Astra Serif" w:cs="PT Astra Serif" w:eastAsiaTheme="minorHAnsi"/>
          <w:highlight w:val="none"/>
        </w:rPr>
        <w:t xml:space="preserve">1.1. </w:t>
      </w:r>
      <w:r>
        <w:rPr>
          <w:rFonts w:ascii="PT Astra Serif" w:hAnsi="PT Astra Serif" w:cs="PT Astra Serif" w:eastAsiaTheme="minorHAnsi"/>
          <w:highlight w:val="none"/>
        </w:rPr>
        <w:t xml:space="preserve">Настоящий Регламент разработан в соответствии с Положением о региональной информационной системе в сфере закупок товаров, работ, услуг для обеспечения государственных нужд Саратовской области, утвержденного постановлением Правительства Саратовско</w:t>
      </w:r>
      <w:r>
        <w:rPr>
          <w:rFonts w:ascii="PT Astra Serif" w:hAnsi="PT Astra Serif" w:cs="PT Astra Serif" w:eastAsiaTheme="minorHAnsi"/>
          <w:highlight w:val="none"/>
        </w:rPr>
        <w:t xml:space="preserve">й области от</w:t>
      </w:r>
      <w:r>
        <w:rPr>
          <w:rFonts w:ascii="PT Astra Serif" w:hAnsi="PT Astra Serif" w:cs="PT Astra Serif" w:eastAsiaTheme="minorHAnsi"/>
          <w:highlight w:val="none"/>
        </w:rPr>
        <w:t xml:space="preserve"> 12 мая 2020 года № 379-П </w:t>
      </w:r>
      <w:r>
        <w:rPr>
          <w:rFonts w:ascii="PT Astra Serif" w:hAnsi="PT Astra Serif" w:cs="PT Astra Serif" w:eastAsiaTheme="minorHAnsi"/>
          <w:highlight w:val="none"/>
        </w:rPr>
        <w:t xml:space="preserve">(далее - Положение о региональной информационной системе).</w:t>
      </w:r>
      <w:r>
        <w:rPr>
          <w:rFonts w:ascii="PT Astra Serif" w:hAnsi="PT Astra Serif" w:cs="PT Astra Serif" w:eastAsiaTheme="minorHAnsi"/>
          <w:highlight w:val="none"/>
        </w:rPr>
      </w:r>
      <w:r/>
    </w:p>
    <w:p>
      <w:pPr>
        <w:ind w:firstLine="540"/>
        <w:rPr>
          <w:rFonts w:ascii="PT Astra Serif" w:hAnsi="PT Astra Serif" w:cs="PT Astra Serif" w:eastAsiaTheme="minorHAnsi"/>
          <w:highlight w:val="none"/>
        </w:rPr>
      </w:pPr>
      <w:r>
        <w:rPr>
          <w:rFonts w:ascii="PT Astra Serif" w:hAnsi="PT Astra Serif" w:cs="PT Astra Serif" w:eastAsiaTheme="minorHAnsi"/>
          <w:highlight w:val="none"/>
        </w:rPr>
        <w:t xml:space="preserve">1.2. </w:t>
      </w:r>
      <w:r>
        <w:rPr>
          <w:rFonts w:ascii="PT Astra Serif" w:hAnsi="PT Astra Serif" w:cs="PT Astra Serif" w:eastAsiaTheme="minorHAnsi"/>
          <w:highlight w:val="none"/>
        </w:rPr>
        <w:t xml:space="preserve">Н</w:t>
      </w:r>
      <w:r>
        <w:rPr>
          <w:rFonts w:ascii="PT Astra Serif" w:hAnsi="PT Astra Serif" w:cs="PT Astra Serif" w:eastAsiaTheme="minorHAnsi"/>
          <w:highlight w:val="none"/>
        </w:rPr>
        <w:t xml:space="preserve">астоящий Регламент определяет порядок взаимодействия министерства финансов Саратовской области, государственного казенного учреждения Саратовской области «Государственное агентство по централизации закупок» и заказчиков Саратовской области в части регистра</w:t>
      </w:r>
      <w:r>
        <w:rPr>
          <w:rFonts w:ascii="PT Astra Serif" w:hAnsi="PT Astra Serif" w:cs="PT Astra Serif" w:eastAsiaTheme="minorHAnsi"/>
          <w:highlight w:val="none"/>
        </w:rPr>
        <w:t xml:space="preserve">ции в региональной информационной системе в сфере закупок товаров, работ, услуг для обеспечения государственных нужд Саратовской области.</w:t>
      </w:r>
      <w:r>
        <w:rPr>
          <w:rFonts w:ascii="PT Astra Serif" w:hAnsi="PT Astra Serif" w:cs="PT Astra Serif" w:eastAsiaTheme="minorHAnsi"/>
          <w:highlight w:val="none"/>
        </w:rPr>
      </w:r>
      <w:r/>
    </w:p>
    <w:p>
      <w:pPr>
        <w:ind w:firstLine="540"/>
        <w:rPr>
          <w:rFonts w:ascii="PT Astra Serif" w:hAnsi="PT Astra Serif" w:cs="PT Astra Serif" w:eastAsiaTheme="minorHAnsi"/>
          <w:highlight w:val="none"/>
        </w:rPr>
      </w:pPr>
      <w:r>
        <w:rPr>
          <w:rFonts w:ascii="PT Astra Serif" w:hAnsi="PT Astra Serif" w:cs="PT Astra Serif" w:eastAsiaTheme="minorHAnsi"/>
          <w:highlight w:val="none"/>
        </w:rPr>
        <w:t xml:space="preserve">1.3. </w:t>
      </w:r>
      <w:r>
        <w:rPr>
          <w:rFonts w:ascii="PT Astra Serif" w:hAnsi="PT Astra Serif" w:cs="PT Astra Serif" w:eastAsiaTheme="minorHAnsi"/>
          <w:highlight w:val="none"/>
        </w:rPr>
        <w:t xml:space="preserve">Термины, сокращения и определения:</w:t>
      </w:r>
      <w:r>
        <w:rPr>
          <w:rFonts w:ascii="PT Astra Serif" w:hAnsi="PT Astra Serif" w:cs="PT Astra Serif" w:eastAsiaTheme="minorHAnsi"/>
          <w:highlight w:val="none"/>
        </w:rPr>
      </w:r>
      <w:r/>
    </w:p>
    <w:tbl>
      <w:tblPr>
        <w:tblStyle w:val="74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6061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ind w:firstLine="0"/>
              <w:jc w:val="center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  <w:t xml:space="preserve">№ п/п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2835" w:type="dxa"/>
            <w:textDirection w:val="lrTb"/>
            <w:noWrap w:val="false"/>
          </w:tcPr>
          <w:p>
            <w:pPr>
              <w:ind w:firstLine="0"/>
              <w:jc w:val="center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  <w:t xml:space="preserve">Термины и сокращения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6061" w:type="dxa"/>
            <w:textDirection w:val="lrTb"/>
            <w:noWrap w:val="false"/>
          </w:tcPr>
          <w:p>
            <w:pPr>
              <w:ind w:firstLine="0"/>
              <w:jc w:val="center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  <w:t xml:space="preserve">Определение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</w:tr>
      <w:tr>
        <w:trPr/>
        <w:tc>
          <w:tcPr>
            <w:tcW w:w="675" w:type="dxa"/>
            <w:textDirection w:val="lrTb"/>
            <w:noWrap w:val="false"/>
          </w:tcPr>
          <w:p>
            <w:pPr>
              <w:ind w:firstLine="0"/>
              <w:jc w:val="center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  <w:t xml:space="preserve">1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2835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</w:r>
            <w:r>
              <w:rPr>
                <w:rFonts w:ascii="PT Astra Serif" w:hAnsi="PT Astra Serif" w:cs="PT Astra Serif" w:eastAsiaTheme="minorHAnsi"/>
              </w:rPr>
              <w:t xml:space="preserve">Федеральный закон № 44-ФЗ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6061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</w:r>
            <w:r>
              <w:rPr>
                <w:rFonts w:ascii="PT Astra Serif" w:hAnsi="PT Astra Serif" w:cs="PT Astra Serif" w:eastAsiaTheme="minorHAnsi"/>
              </w:rPr>
              <w:t xml:space="preserve">Федеральный закон от 05.04.2013 </w:t>
            </w:r>
            <w:r>
              <w:rPr>
                <w:rFonts w:ascii="PT Astra Serif" w:hAnsi="PT Astra Serif" w:cs="PT Astra Serif" w:eastAsiaTheme="minorHAnsi"/>
              </w:rPr>
              <w:t xml:space="preserve">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</w:tr>
      <w:tr>
        <w:trPr/>
        <w:tc>
          <w:tcPr>
            <w:tcW w:w="675" w:type="dxa"/>
            <w:textDirection w:val="lrTb"/>
            <w:noWrap w:val="false"/>
          </w:tcPr>
          <w:p>
            <w:pPr>
              <w:ind w:firstLine="0"/>
              <w:jc w:val="center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  <w:t xml:space="preserve">2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2835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</w:r>
            <w:r>
              <w:rPr>
                <w:rFonts w:ascii="PT Astra Serif" w:hAnsi="PT Astra Serif" w:cs="PT Astra Serif" w:eastAsiaTheme="minorHAnsi"/>
              </w:rPr>
              <w:t xml:space="preserve">Федеральный закон № 223-ФЗ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6061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</w:r>
            <w:r>
              <w:rPr>
                <w:rFonts w:ascii="PT Astra Serif" w:hAnsi="PT Astra Serif" w:cs="PT Astra Serif" w:eastAsiaTheme="minorHAnsi"/>
              </w:rPr>
              <w:t xml:space="preserve">Федеральный закон от 18.07.2011 </w:t>
            </w:r>
            <w:r>
              <w:rPr>
                <w:rFonts w:ascii="PT Astra Serif" w:hAnsi="PT Astra Serif" w:cs="PT Astra Serif" w:eastAsiaTheme="minorHAnsi"/>
              </w:rPr>
              <w:t xml:space="preserve">«О закупках то</w:t>
            </w:r>
            <w:r>
              <w:rPr>
                <w:rFonts w:ascii="PT Astra Serif" w:hAnsi="PT Astra Serif" w:cs="PT Astra Serif" w:eastAsiaTheme="minorHAnsi"/>
              </w:rPr>
              <w:t xml:space="preserve">варов, работ, услуг отдельными видами юридических лиц»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</w:tr>
      <w:tr>
        <w:trPr/>
        <w:tc>
          <w:tcPr>
            <w:tcW w:w="675" w:type="dxa"/>
            <w:textDirection w:val="lrTb"/>
            <w:noWrap w:val="false"/>
          </w:tcPr>
          <w:p>
            <w:pPr>
              <w:ind w:firstLine="0"/>
              <w:jc w:val="center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  <w:t xml:space="preserve">3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2835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  <w:t xml:space="preserve">ЕИС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6061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</w:r>
            <w:r>
              <w:rPr>
                <w:rFonts w:ascii="PT Astra Serif" w:hAnsi="PT Astra Serif" w:cs="PT Astra Serif"/>
              </w:rPr>
              <w:t xml:space="preserve">Единая информационная система в </w:t>
            </w:r>
            <w:r>
              <w:rPr>
                <w:rFonts w:ascii="PT Astra Serif" w:hAnsi="PT Astra Serif" w:cs="PT Astra Serif"/>
              </w:rPr>
              <w:t xml:space="preserve">сфере закупок това</w:t>
            </w:r>
            <w:r>
              <w:rPr>
                <w:rFonts w:ascii="PT Astra Serif" w:hAnsi="PT Astra Serif" w:cs="PT Astra Serif"/>
              </w:rPr>
              <w:t xml:space="preserve">ров, работ, услуг для обеспечения государственных и муниципальных нужд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</w:tr>
      <w:tr>
        <w:trPr/>
        <w:tc>
          <w:tcPr>
            <w:tcW w:w="675" w:type="dxa"/>
            <w:textDirection w:val="lrTb"/>
            <w:noWrap w:val="false"/>
          </w:tcPr>
          <w:p>
            <w:pPr>
              <w:ind w:firstLine="0"/>
              <w:jc w:val="center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  <w:t xml:space="preserve">4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2835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  <w:t xml:space="preserve">Система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6061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</w:r>
            <w:r>
              <w:rPr>
                <w:rFonts w:ascii="PT Astra Serif" w:hAnsi="PT Astra Serif" w:cs="PT Astra Serif" w:eastAsiaTheme="minorHAnsi"/>
                <w:highlight w:val="none"/>
              </w:rPr>
              <w:t xml:space="preserve">Региональная информационная система в сфере закупок товаров, работ, услуг для обеспечения государственных нужд Саратовской области</w:t>
            </w:r>
            <w:r>
              <w:rPr>
                <w:rFonts w:ascii="PT Astra Serif" w:hAnsi="PT Astra Serif" w:cs="PT Astra Serif" w:eastAsiaTheme="minorHAnsi"/>
                <w:highlight w:val="none"/>
              </w:rPr>
              <w:t xml:space="preserve"> (РегИС)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</w:tr>
      <w:tr>
        <w:trPr/>
        <w:tc>
          <w:tcPr>
            <w:tcW w:w="675" w:type="dxa"/>
            <w:textDirection w:val="lrTb"/>
            <w:noWrap w:val="false"/>
          </w:tcPr>
          <w:p>
            <w:pPr>
              <w:ind w:firstLine="0"/>
              <w:jc w:val="center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  <w:t xml:space="preserve">5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2835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  <w:t xml:space="preserve">Оператор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6061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</w:r>
            <w:r>
              <w:rPr>
                <w:rFonts w:ascii="PT Astra Serif" w:hAnsi="PT Astra Serif" w:cs="PT Astra Serif" w:eastAsiaTheme="minorHAnsi"/>
                <w:highlight w:val="none"/>
              </w:rPr>
              <w:t xml:space="preserve">Министерство финансов Саратовской области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</w:tr>
      <w:tr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  <w:t xml:space="preserve">6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  <w:t xml:space="preserve">Администратор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6061" w:type="dxa"/>
            <w:vMerge w:val="restart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</w:r>
            <w:r>
              <w:rPr>
                <w:rFonts w:ascii="PT Astra Serif" w:hAnsi="PT Astra Serif" w:cs="PT Astra Serif" w:eastAsiaTheme="minorHAnsi"/>
                <w:highlight w:val="none"/>
              </w:rPr>
              <w:t xml:space="preserve">Государственное казенное учреждение Саратовской области «Государственное агентство по централизации закупок»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</w:tr>
      <w:tr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  <w:t xml:space="preserve">7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  <w:t xml:space="preserve">Участник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6061" w:type="dxa"/>
            <w:vMerge w:val="restart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</w:r>
            <w:r>
              <w:rPr>
                <w:rFonts w:ascii="PT Astra Serif" w:hAnsi="PT Astra Serif" w:cs="PT Astra Serif" w:eastAsiaTheme="minorHAnsi"/>
                <w:highlight w:val="none"/>
              </w:rPr>
              <w:t xml:space="preserve">Заказчики Саратовской области (Заказчики)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</w:tr>
      <w:tr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  <w:t xml:space="preserve">8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</w:r>
            <w:r>
              <w:rPr>
                <w:rFonts w:ascii="PT Astra Serif" w:hAnsi="PT Astra Serif" w:cs="PT Astra Serif" w:eastAsiaTheme="minorHAnsi"/>
                <w:highlight w:val="none"/>
              </w:rPr>
              <w:t xml:space="preserve">Пользователь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6061" w:type="dxa"/>
            <w:vMerge w:val="restart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</w:r>
            <w:r>
              <w:rPr>
                <w:rFonts w:ascii="PT Astra Serif" w:hAnsi="PT Astra Serif" w:cs="PT Astra Serif" w:eastAsiaTheme="minorHAnsi"/>
                <w:highlight w:val="none"/>
              </w:rPr>
              <w:t xml:space="preserve">Оператор, Администратор, Участник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</w:tr>
      <w:tr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  <w:t xml:space="preserve">9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</w:r>
            <w:r>
              <w:rPr>
                <w:rFonts w:ascii="PT Astra Serif" w:hAnsi="PT Astra Serif" w:cs="PT Astra Serif" w:eastAsiaTheme="minorHAnsi"/>
                <w:highlight w:val="none"/>
              </w:rPr>
              <w:t xml:space="preserve">УКЭП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6061" w:type="dxa"/>
            <w:vMerge w:val="restart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</w:r>
            <w:r>
              <w:rPr>
                <w:rFonts w:ascii="PT Astra Serif" w:hAnsi="PT Astra Serif" w:cs="PT Astra Serif" w:eastAsiaTheme="minorHAnsi"/>
                <w:highlight w:val="none"/>
              </w:rPr>
              <w:t xml:space="preserve">Усиленная квалифицированная электронная подпись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</w:tr>
      <w:tr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  <w:t xml:space="preserve">10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</w:r>
            <w:r>
              <w:rPr>
                <w:rFonts w:ascii="PT Astra Serif" w:hAnsi="PT Astra Serif" w:cs="PT Astra Serif" w:eastAsiaTheme="minorHAnsi"/>
                <w:highlight w:val="none"/>
              </w:rPr>
              <w:t xml:space="preserve">Рабочее место  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6061" w:type="dxa"/>
            <w:vMerge w:val="restart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</w:r>
            <w:r>
              <w:rPr>
                <w:rFonts w:ascii="PT Astra Serif" w:hAnsi="PT Astra Serif" w:cs="PT Astra Serif" w:eastAsiaTheme="minorHAnsi"/>
                <w:highlight w:val="none"/>
              </w:rPr>
              <w:t xml:space="preserve">Совокупность полномочий пользователя Системы с выбранной ролью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</w:tr>
      <w:tr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  <w:t xml:space="preserve">11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</w:r>
            <w:r>
              <w:rPr>
                <w:rFonts w:ascii="PT Astra Serif" w:hAnsi="PT Astra Serif" w:cs="PT Astra Serif" w:eastAsiaTheme="minorHAnsi"/>
                <w:highlight w:val="none"/>
              </w:rPr>
              <w:t xml:space="preserve">Полномочия (роли)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  <w:tc>
          <w:tcPr>
            <w:tcW w:w="6061" w:type="dxa"/>
            <w:vMerge w:val="restart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 w:eastAsiaTheme="minorHAnsi"/>
                <w:highlight w:val="none"/>
              </w:rPr>
            </w:pPr>
            <w:r>
              <w:rPr>
                <w:rFonts w:ascii="PT Astra Serif" w:hAnsi="PT Astra Serif" w:cs="PT Astra Serif" w:eastAsiaTheme="minorHAnsi"/>
                <w:highlight w:val="none"/>
              </w:rPr>
            </w:r>
            <w:r>
              <w:rPr>
                <w:rFonts w:ascii="PT Astra Serif" w:hAnsi="PT Astra Serif" w:cs="PT Astra Serif" w:eastAsiaTheme="minorHAnsi"/>
                <w:highlight w:val="none"/>
              </w:rPr>
              <w:t xml:space="preserve">Набор прав доступа к объектам учета Системы</w:t>
            </w:r>
            <w:r>
              <w:rPr>
                <w:rFonts w:ascii="PT Astra Serif" w:hAnsi="PT Astra Serif" w:cs="PT Astra Serif" w:eastAsiaTheme="minorHAnsi"/>
                <w:highlight w:val="none"/>
              </w:rPr>
            </w:r>
            <w:r/>
          </w:p>
        </w:tc>
      </w:tr>
    </w:tbl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2. Порядок регистрации Участников в Системе.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2.1. Регистрация нового Пользователя осуществляется путем направления Участником заявки в электронном виде по адресу: mf_oit@saratov.gov.ru.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Наделение полномочиями использования информационных ресурсов Системы для Пользователей производится при наличии в составе заявки, направленного в адрес Оператора, следующей информации: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письмо о предоставлении доступа к </w:t>
      </w:r>
      <w:r>
        <w:rPr>
          <w:rFonts w:ascii="PT Astra Serif" w:hAnsi="PT Astra Serif" w:cs="PT Astra Serif" w:eastAsiaTheme="minorHAnsi"/>
          <w:highlight w:val="none"/>
        </w:rPr>
        <w:t xml:space="preserve">региональной информационной системе в сфере закупок товаров, работ, услуг для обеспечения государственных нужд Саратовской области</w:t>
      </w:r>
      <w:r>
        <w:rPr>
          <w:rFonts w:ascii="PT Astra Serif" w:hAnsi="PT Astra Serif" w:cs="PT Astra Serif" w:eastAsiaTheme="minorHAnsi"/>
          <w:highlight w:val="none"/>
        </w:rPr>
        <w:t xml:space="preserve"> (приложение № 1 к Регламенту);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заявление на добавление полномочий Пользователю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vertAlign w:val="baseline"/>
        </w:rPr>
        <w:t xml:space="preserve">в формате Excel</w:t>
      </w:r>
      <w:r>
        <w:rPr>
          <w:rFonts w:ascii="PT Astra Serif" w:hAnsi="PT Astra Serif" w:cs="PT Astra Serif" w:eastAsiaTheme="minorHAnsi"/>
          <w:highlight w:val="none"/>
        </w:rPr>
        <w:t xml:space="preserve">, подтверждающего полномочия лица на осуществление действий от имени Заказчика (приложение № 2 к Регламенту).</w:t>
      </w:r>
      <w:r>
        <w:rPr>
          <w:rFonts w:ascii="PT Astra Serif" w:hAnsi="PT Astra Serif" w:cs="PT Astra Serif" w:eastAsiaTheme="minorHAnsi"/>
          <w:highlight w:val="none"/>
        </w:rPr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2</w:t>
      </w:r>
      <w:r>
        <w:rPr>
          <w:rFonts w:ascii="PT Astra Serif" w:hAnsi="PT Astra Serif" w:cs="PT Astra Serif" w:eastAsiaTheme="minorHAnsi"/>
          <w:highlight w:val="none"/>
        </w:rPr>
        <w:t xml:space="preserve">.2. Заявка рассматривается Оператором в течение 3 (трех) рабочих дней с даты ее подачи в электронном виде. По результатам рассмотрения принимается решение о предоставлении доступа к информационным ресурсам Системы, либо Заявка отклоняется с указанием соотв</w:t>
      </w:r>
      <w:r>
        <w:rPr>
          <w:rFonts w:ascii="PT Astra Serif" w:hAnsi="PT Astra Serif" w:cs="PT Astra Serif" w:eastAsiaTheme="minorHAnsi"/>
          <w:highlight w:val="none"/>
        </w:rPr>
        <w:t xml:space="preserve">етствующих комментариев для устранения замечаний. Результаты рассмотрения Заявки направляются на адрес электронной почты Пользователя, указанный в заявке на регистрацию.</w:t>
      </w:r>
      <w:r/>
    </w:p>
    <w:p>
      <w:pPr>
        <w:ind w:firstLine="540"/>
        <w:rPr>
          <w:highlight w:val="white"/>
        </w:rPr>
      </w:pPr>
      <w:r>
        <w:rPr>
          <w:rFonts w:ascii="PT Astra Serif" w:hAnsi="PT Astra Serif" w:cs="PT Astra Serif" w:eastAsiaTheme="minorHAnsi"/>
          <w:highlight w:val="white"/>
        </w:rPr>
        <w:t xml:space="preserve">2</w:t>
      </w:r>
      <w:r>
        <w:rPr>
          <w:rFonts w:ascii="PT Astra Serif" w:hAnsi="PT Astra Serif" w:cs="PT Astra Serif" w:eastAsiaTheme="minorHAnsi"/>
          <w:highlight w:val="white"/>
        </w:rPr>
        <w:t xml:space="preserve">.3. Доступ зарегистрированному Пользователю предоставляется к определенному перечню ролей. Роли, фиксирующие полномочия, доступные Пользователю Заказчика, определяются на основании </w:t>
      </w:r>
      <w:r>
        <w:rPr>
          <w:rFonts w:ascii="PT Astra Serif" w:hAnsi="PT Astra Serif" w:cs="PT Astra Serif" w:eastAsiaTheme="minorHAnsi"/>
          <w:highlight w:val="none"/>
        </w:rPr>
        <w:t xml:space="preserve">заявления на добавление полномочий Пользователю</w:t>
      </w:r>
      <w:r>
        <w:rPr>
          <w:rFonts w:ascii="PT Astra Serif" w:hAnsi="PT Astra Serif" w:cs="PT Astra Serif" w:eastAsiaTheme="minorHAnsi"/>
          <w:highlight w:val="white"/>
        </w:rPr>
        <w:t xml:space="preserve">. </w:t>
      </w:r>
      <w:r>
        <w:rPr>
          <w:highlight w:val="white"/>
        </w:rPr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2.4. Для осуществления Пользователем в Системе действий, требующих использования электронной подписи, Заказчик обеспечивает Пользователя сертификатом УКЭП.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2.5. Для доступа в Систему Пользователем может быть использован один из вариантов методов аутентификации: по логину и паролю, по сертификату УКЭП.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2.6. Передача учетных данных третьим лицам запрещается.</w:t>
      </w:r>
      <w:r/>
    </w:p>
    <w:p>
      <w:pPr>
        <w:ind w:firstLine="540"/>
        <w:rPr>
          <w:rFonts w:ascii="PT Astra Serif" w:hAnsi="PT Astra Serif" w:cs="PT Astra Serif" w:eastAsiaTheme="minorHAnsi"/>
          <w:highlight w:val="none"/>
        </w:rPr>
      </w:pPr>
      <w:r>
        <w:rPr>
          <w:rFonts w:ascii="PT Astra Serif" w:hAnsi="PT Astra Serif" w:cs="PT Astra Serif" w:eastAsiaTheme="minorHAnsi"/>
          <w:highlight w:val="none"/>
        </w:rPr>
        <w:t xml:space="preserve">2.7. Использование для аутентификации сертификата УКЭП допускается только для лиц, указанных в качестве владельца данного сертификата УКЭП.</w:t>
      </w:r>
      <w:r>
        <w:rPr>
          <w:rFonts w:ascii="PT Astra Serif" w:hAnsi="PT Astra Serif" w:cs="PT Astra Serif" w:eastAsiaTheme="minorHAnsi"/>
          <w:highlight w:val="none"/>
        </w:rPr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3. Изменение сведений о Пользователе.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3.1. В случае если требуется внести изменения в сведения о занимаемой должности, номере контактного телефона или адресе электронной почты Пользователя, внесение изменений осуществляются Пользователем самостоятельно в личном кабинете Системы.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3</w:t>
      </w:r>
      <w:r>
        <w:rPr>
          <w:rFonts w:ascii="PT Astra Serif" w:hAnsi="PT Astra Serif" w:cs="PT Astra Serif" w:eastAsiaTheme="minorHAnsi"/>
          <w:highlight w:val="none"/>
        </w:rPr>
        <w:t xml:space="preserve">.2. В случае если требуется изменить фамилию, имя или отчество Пользователя, то в адрес Оператора должно быть направлено письмо о прекращении полномочий Пользователя в соответствии с разделом 5 настоящего Регламента и совершены действия по регистрации Поль</w:t>
      </w:r>
      <w:r>
        <w:rPr>
          <w:rFonts w:ascii="PT Astra Serif" w:hAnsi="PT Astra Serif" w:cs="PT Astra Serif" w:eastAsiaTheme="minorHAnsi"/>
          <w:highlight w:val="none"/>
        </w:rPr>
        <w:t xml:space="preserve">зователя с измененными фамилией, именем или отчеством в соответствии с разделом 3 настоящего Регламента.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3.3. Изменения сведений о Пользователе на основании полученного письма осуществляются Оператором в течение 3 (трех) рабочих дней.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4. Прекращение прав доступа к Системе.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4.1. Прекращение действия полномочий Пользователя для использования информационных ресурсов Системы производится в следующих случаях: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при увольнении;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при переводе на другое место работы;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на время отпуска по уходу за ребенком;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при истечении срока полномочий;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при ликвидации Заказчика;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по решению руководителя Заказчика.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4.2. В таких случаях Заказчик направляет соответствующую информацию официальным письмом в адрес Оператора.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4.3. Прекращение полномочий Пользователя Системы осуществляется в течение 3 (трех) рабочих дней с даты получения письма, предусмотренного пунктом 4.1 настоящего Регламента.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4.4. Доступ к информационным ресурсам Системы может быть прекращен по решению Оператора в случаях: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обнаружения нарушений правил использования учетных записей, установленных пунктами 3.5 - 3.7 настоящего Регламента;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осуществления Пользователем Заказчика действий в Единой информационной системе в сфере закупок, напрямую связанных с закупками и (или) контрактами, без использования функционала Системы;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компрометации или подозрения на компрометацию (иной факт распространения сведений) учетных данных, а также ключа электронной подписи Пользователя;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освобождения от замещения должности государственной гражданской службы, государственного гражданского служащего Саратовской области или увольнения работника в соответствии с трудовым законодательством Российской Федерации, которым был предоставлен доступ </w:t>
      </w:r>
      <w:r>
        <w:rPr>
          <w:rFonts w:ascii="PT Astra Serif" w:hAnsi="PT Astra Serif" w:cs="PT Astra Serif" w:eastAsiaTheme="minorHAnsi"/>
          <w:highlight w:val="none"/>
        </w:rPr>
        <w:t xml:space="preserve">в Систему;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истечения срока действия учетной записи Пользователя;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отсутствия информации об использовании учетной записи Пользователя в течение шести месяцев, за исключением случаев использования учетной записи с правом чтения;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выявления неправомерного использования информационных ресурсов Системы.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4</w:t>
      </w:r>
      <w:r>
        <w:rPr>
          <w:rFonts w:ascii="PT Astra Serif" w:hAnsi="PT Astra Serif" w:cs="PT Astra Serif" w:eastAsiaTheme="minorHAnsi"/>
          <w:highlight w:val="none"/>
        </w:rPr>
        <w:t xml:space="preserve">.5. Пользователи несут персональную ответственность в соответствии с действующим законодательством Российской Федерации за внесение неполной и/или недостоверной информации в Систему, административную ответственность за несоблюдение требований законодательс</w:t>
      </w:r>
      <w:r>
        <w:rPr>
          <w:rFonts w:ascii="PT Astra Serif" w:hAnsi="PT Astra Serif" w:cs="PT Astra Serif" w:eastAsiaTheme="minorHAnsi"/>
          <w:highlight w:val="none"/>
        </w:rPr>
        <w:t xml:space="preserve">тва в сфере закупок товаров, работ, услуг.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5. Разрешение разногласий.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5</w:t>
      </w:r>
      <w:r>
        <w:rPr>
          <w:rFonts w:ascii="PT Astra Serif" w:hAnsi="PT Astra Serif" w:cs="PT Astra Serif" w:eastAsiaTheme="minorHAnsi"/>
          <w:highlight w:val="none"/>
        </w:rPr>
        <w:t xml:space="preserve">.1. Все споры и разногласия, которые могут возникнуть в связи с применением, нарушением, толкованием настоящего Регламента, Оператор, Администратор и Участники будут стремиться решить, используя механизмы согласительного урегулирования споров и разногласий</w:t>
      </w:r>
      <w:r>
        <w:rPr>
          <w:rFonts w:ascii="PT Astra Serif" w:hAnsi="PT Astra Serif" w:cs="PT Astra Serif" w:eastAsiaTheme="minorHAnsi"/>
          <w:highlight w:val="none"/>
        </w:rPr>
        <w:t xml:space="preserve">.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5.2. Если по итогам проведения согласительной процедуры конфликтная ситуация остается полностью или частично неурегулированной, стороны вправе разрешать неурегулированный спор и разногласия в соответствии с законодательством Российской Федерации.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6. Принятие и внесение изменений в настоящий Регламент.</w:t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6.1. Внесение изменений и дополнений в настоящий Регламент осуществляется путем подготовки проекта Регламента в новой редакции.</w:t>
      </w:r>
      <w:r/>
    </w:p>
    <w:p>
      <w:pPr>
        <w:ind w:firstLine="540"/>
        <w:rPr>
          <w:rFonts w:ascii="PT Astra Serif" w:hAnsi="PT Astra Serif" w:cs="PT Astra Serif" w:eastAsiaTheme="minorHAnsi"/>
          <w:highlight w:val="none"/>
        </w:rPr>
      </w:pPr>
      <w:r>
        <w:rPr>
          <w:rFonts w:ascii="PT Astra Serif" w:hAnsi="PT Astra Serif" w:cs="PT Astra Serif" w:eastAsiaTheme="minorHAnsi"/>
          <w:highlight w:val="none"/>
        </w:rPr>
        <w:t xml:space="preserve">6.2. Изменения в Регламент вступают в силу с момента опубликования Регламента на официальном сайте Системы.</w:t>
      </w:r>
      <w:r>
        <w:rPr>
          <w:rFonts w:ascii="PT Astra Serif" w:hAnsi="PT Astra Serif" w:cs="PT Astra Serif" w:eastAsiaTheme="minorHAnsi"/>
          <w:highlight w:val="none"/>
        </w:rPr>
      </w:r>
      <w:r/>
    </w:p>
    <w:p>
      <w:pPr>
        <w:ind w:firstLine="540"/>
      </w:pPr>
      <w:r>
        <w:rPr>
          <w:rFonts w:ascii="PT Astra Serif" w:hAnsi="PT Astra Serif" w:cs="PT Astra Serif" w:eastAsiaTheme="minorHAnsi"/>
          <w:highlight w:val="none"/>
        </w:rPr>
        <w:t xml:space="preserve">6. Ответственность Пользователей.</w:t>
      </w:r>
      <w:r>
        <w:rPr>
          <w:rFonts w:ascii="PT Astra Serif" w:hAnsi="PT Astra Serif" w:cs="PT Astra Serif" w:eastAsiaTheme="minorHAnsi"/>
          <w:highlight w:val="none"/>
        </w:rPr>
      </w:r>
      <w:r/>
    </w:p>
    <w:p>
      <w:pPr>
        <w:ind w:firstLine="540"/>
        <w:rPr>
          <w:rFonts w:ascii="PT Astra Serif" w:hAnsi="PT Astra Serif" w:cs="PT Astra Serif" w:eastAsiaTheme="minorHAnsi"/>
          <w:highlight w:val="none"/>
        </w:rPr>
      </w:pPr>
      <w:r>
        <w:rPr>
          <w:rFonts w:ascii="PT Astra Serif" w:hAnsi="PT Astra Serif" w:cs="PT Astra Serif" w:eastAsiaTheme="minorHAnsi"/>
          <w:highlight w:val="none"/>
        </w:rPr>
        <w:t xml:space="preserve">6.1. Пользователи н</w:t>
      </w:r>
      <w:r>
        <w:rPr>
          <w:rFonts w:ascii="PT Astra Serif" w:hAnsi="PT Astra Serif" w:cs="PT Astra Serif" w:eastAsiaTheme="minorHAnsi"/>
          <w:highlight w:val="none"/>
        </w:rPr>
        <w:t xml:space="preserve">есут персональную ответственность в соответствии с действующим законодательством Российской Федерации за внесение неполной и/или недостоверной информации в Систему, административную ответственность за несоблюдение требований законодательства в сфере закупо</w:t>
      </w:r>
      <w:r>
        <w:rPr>
          <w:rFonts w:ascii="PT Astra Serif" w:hAnsi="PT Astra Serif" w:cs="PT Astra Serif" w:eastAsiaTheme="minorHAnsi"/>
          <w:highlight w:val="none"/>
        </w:rPr>
        <w:t xml:space="preserve">к товаров, работ, услуг.</w:t>
      </w:r>
      <w:r>
        <w:rPr>
          <w:rFonts w:ascii="PT Astra Serif" w:hAnsi="PT Astra Serif" w:cs="PT Astra Serif" w:eastAsiaTheme="minorHAnsi"/>
          <w:highlight w:val="none"/>
        </w:rPr>
      </w:r>
      <w:r/>
    </w:p>
    <w:p>
      <w:pPr>
        <w:shd w:val="nil" w:color="auto"/>
        <w:rPr>
          <w:rFonts w:ascii="PT Astra Serif" w:hAnsi="PT Astra Serif" w:cs="PT Astra Serif" w:eastAsiaTheme="minorHAnsi"/>
          <w:highlight w:val="none"/>
        </w:rPr>
      </w:pPr>
      <w:r>
        <w:rPr>
          <w:rFonts w:ascii="PT Astra Serif" w:hAnsi="PT Astra Serif" w:cs="PT Astra Serif" w:eastAsiaTheme="minorHAnsi"/>
          <w:highlight w:val="none"/>
        </w:rPr>
      </w:r>
      <w:r>
        <w:rPr>
          <w:rFonts w:ascii="PT Astra Serif" w:hAnsi="PT Astra Serif" w:cs="PT Astra Serif" w:eastAsiaTheme="minorHAnsi"/>
          <w:highlight w:val="none"/>
        </w:rPr>
      </w:r>
      <w:r/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  <w:font w:name="Calibri">
    <w:panose1 w:val="020F050202020403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3"/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5</w:t>
    </w:r>
    <w:r>
      <w:fldChar w:fldCharType="end"/>
    </w:r>
    <w:r/>
  </w:p>
  <w:p>
    <w:pPr>
      <w:pStyle w:val="74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Style w:val="749"/>
      <w:tblW w:w="0" w:type="auto"/>
      <w:tblInd w:w="5602" w:type="dxa"/>
      <w:tblLayout w:type="fixed"/>
      <w:tblLook w:val="04A0" w:firstRow="1" w:lastRow="0" w:firstColumn="1" w:lastColumn="0" w:noHBand="0" w:noVBand="1"/>
    </w:tblPr>
    <w:tblGrid>
      <w:gridCol w:w="3935"/>
    </w:tblGrid>
    <w:tr>
      <w:trPr/>
      <w:tc>
        <w:tcPr>
          <w:tc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3935" w:type="dxa"/>
          <w:textDirection w:val="lrTb"/>
          <w:noWrap w:val="false"/>
        </w:tcPr>
        <w:p>
          <w:pPr>
            <w:ind w:left="0" w:right="0" w:firstLine="0"/>
            <w:jc w:val="left"/>
            <w:rPr>
              <w:rFonts w:ascii="PT Astra Serif" w:hAnsi="PT Astra Serif" w:cs="PT Astra Serif"/>
              <w:sz w:val="24"/>
              <w:szCs w:val="24"/>
            </w:rPr>
          </w:pPr>
          <w:r>
            <w:rPr>
              <w:rFonts w:ascii="PT Astra Serif" w:hAnsi="PT Astra Serif" w:cs="PT Astra Serif"/>
              <w:sz w:val="24"/>
              <w:szCs w:val="24"/>
            </w:rPr>
          </w:r>
          <w:r>
            <w:rPr>
              <w:rFonts w:ascii="PT Astra Serif" w:hAnsi="PT Astra Serif" w:cs="PT Astra Serif"/>
              <w:sz w:val="24"/>
              <w:szCs w:val="24"/>
            </w:rPr>
            <w:t xml:space="preserve">Приложение</w:t>
          </w:r>
          <w:r>
            <w:rPr>
              <w:rFonts w:ascii="PT Astra Serif" w:hAnsi="PT Astra Serif" w:cs="PT Astra Serif"/>
              <w:sz w:val="24"/>
              <w:szCs w:val="24"/>
            </w:rPr>
            <w:t xml:space="preserve"> </w:t>
          </w:r>
          <w:r>
            <w:rPr>
              <w:rFonts w:ascii="PT Astra Serif" w:hAnsi="PT Astra Serif" w:cs="PT Astra Serif"/>
              <w:sz w:val="24"/>
              <w:szCs w:val="24"/>
            </w:rPr>
          </w:r>
        </w:p>
        <w:p>
          <w:pPr>
            <w:ind w:left="0" w:right="0" w:firstLine="0"/>
            <w:jc w:val="left"/>
            <w:rPr>
              <w:rFonts w:ascii="PT Astra Serif" w:hAnsi="PT Astra Serif" w:cs="PT Astra Serif"/>
              <w:sz w:val="24"/>
              <w:szCs w:val="24"/>
            </w:rPr>
          </w:pPr>
          <w:r>
            <w:rPr>
              <w:rFonts w:ascii="PT Astra Serif" w:hAnsi="PT Astra Serif" w:cs="PT Astra Serif"/>
              <w:sz w:val="24"/>
              <w:szCs w:val="24"/>
            </w:rPr>
            <w:t xml:space="preserve">к приказу министерства финансов Саратовской области </w:t>
          </w:r>
          <w:r>
            <w:rPr>
              <w:rFonts w:ascii="PT Astra Serif" w:hAnsi="PT Astra Serif" w:cs="PT Astra Serif"/>
              <w:sz w:val="24"/>
              <w:szCs w:val="24"/>
            </w:rPr>
          </w:r>
          <w:r/>
        </w:p>
        <w:p>
          <w:pPr>
            <w:ind w:left="0" w:right="0" w:firstLine="0"/>
            <w:jc w:val="left"/>
            <w:rPr>
              <w:rFonts w:ascii="PT Astra Serif" w:hAnsi="PT Astra Serif" w:cs="PT Astra Serif"/>
              <w:sz w:val="24"/>
              <w:szCs w:val="24"/>
            </w:rPr>
          </w:pPr>
          <w:r>
            <w:rPr>
              <w:rFonts w:ascii="PT Astra Serif" w:hAnsi="PT Astra Serif" w:cs="PT Astra Serif"/>
              <w:sz w:val="24"/>
              <w:szCs w:val="24"/>
            </w:rPr>
          </w:r>
          <w:r>
            <w:rPr>
              <w:rFonts w:ascii="PT Astra Serif" w:hAnsi="PT Astra Serif" w:cs="PT Astra Serif"/>
              <w:sz w:val="24"/>
              <w:szCs w:val="24"/>
              <w:highlight w:val="none"/>
            </w:rPr>
            <w:t xml:space="preserve">от_____________2023 года №_____</w:t>
          </w:r>
          <w:r>
            <w:rPr>
              <w:rFonts w:ascii="PT Astra Serif" w:hAnsi="PT Astra Serif" w:cs="PT Astra Serif"/>
              <w:sz w:val="24"/>
              <w:szCs w:val="24"/>
            </w:rPr>
            <w:br/>
            <w:t xml:space="preserve">«Приложение</w:t>
          </w:r>
          <w:r/>
          <w:r/>
        </w:p>
        <w:p>
          <w:pPr>
            <w:ind w:left="0" w:right="0" w:firstLine="0"/>
            <w:jc w:val="left"/>
            <w:rPr>
              <w:rFonts w:ascii="PT Astra Serif" w:hAnsi="PT Astra Serif" w:cs="PT Astra Serif"/>
              <w:sz w:val="24"/>
              <w:szCs w:val="24"/>
            </w:rPr>
          </w:pPr>
          <w:r>
            <w:rPr>
              <w:rFonts w:ascii="PT Astra Serif" w:hAnsi="PT Astra Serif" w:cs="PT Astra Serif"/>
              <w:sz w:val="24"/>
              <w:szCs w:val="24"/>
            </w:rPr>
            <w:t xml:space="preserve">УТВЕРЖДЕНО</w:t>
          </w:r>
          <w:r>
            <w:rPr>
              <w:sz w:val="24"/>
              <w:szCs w:val="24"/>
            </w:rPr>
          </w:r>
          <w:r/>
        </w:p>
        <w:p>
          <w:pPr>
            <w:ind w:left="0" w:firstLine="0"/>
            <w:jc w:val="left"/>
            <w:rPr>
              <w:rFonts w:ascii="PT Astra Serif" w:hAnsi="PT Astra Serif" w:cs="PT Astra Serif"/>
              <w:sz w:val="24"/>
              <w:szCs w:val="24"/>
              <w:highlight w:val="none"/>
            </w:rPr>
          </w:pPr>
          <w:r>
            <w:rPr>
              <w:rFonts w:ascii="PT Astra Serif" w:hAnsi="PT Astra Serif" w:cs="PT Astra Serif"/>
              <w:sz w:val="24"/>
              <w:szCs w:val="24"/>
            </w:rPr>
            <w:t xml:space="preserve">приказом министерства финансов Саратовской области</w:t>
          </w:r>
          <w:r>
            <w:rPr>
              <w:rFonts w:ascii="PT Astra Serif" w:hAnsi="PT Astra Serif" w:cs="PT Astra Serif"/>
            </w:rPr>
          </w:r>
          <w:r/>
        </w:p>
        <w:p>
          <w:pPr>
            <w:ind w:left="0" w:firstLine="0"/>
            <w:jc w:val="left"/>
            <w:rPr>
              <w:rFonts w:ascii="PT Astra Serif" w:hAnsi="PT Astra Serif" w:cs="PT Astra Serif"/>
            </w:rPr>
          </w:pPr>
          <w:r>
            <w:rPr>
              <w:rFonts w:ascii="PT Astra Serif" w:hAnsi="PT Astra Serif" w:cs="PT Astra Serif"/>
              <w:sz w:val="24"/>
              <w:szCs w:val="24"/>
              <w:highlight w:val="none"/>
            </w:rPr>
            <w:t xml:space="preserve">от 4 августа 2020 года № 527»</w:t>
          </w:r>
          <w:r>
            <w:rPr>
              <w:rFonts w:ascii="PT Astra Serif" w:hAnsi="PT Astra Serif" w:cs="PT Astra Serif"/>
              <w:sz w:val="24"/>
              <w:szCs w:val="24"/>
              <w:highlight w:val="none"/>
            </w:rPr>
          </w:r>
          <w:r/>
        </w:p>
      </w:tc>
    </w:tr>
  </w:tbl>
  <w:p>
    <w:pPr>
      <w:pStyle w:val="74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713"/>
      <w:isLgl w:val="false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714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715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716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717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718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19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720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721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4">
    <w:name w:val="Title Char"/>
    <w:basedOn w:val="722"/>
    <w:link w:val="735"/>
    <w:uiPriority w:val="10"/>
    <w:rPr>
      <w:sz w:val="48"/>
      <w:szCs w:val="48"/>
    </w:rPr>
  </w:style>
  <w:style w:type="character" w:styleId="705">
    <w:name w:val="Subtitle Char"/>
    <w:basedOn w:val="722"/>
    <w:link w:val="737"/>
    <w:uiPriority w:val="11"/>
    <w:rPr>
      <w:sz w:val="24"/>
      <w:szCs w:val="24"/>
    </w:rPr>
  </w:style>
  <w:style w:type="character" w:styleId="706">
    <w:name w:val="Quote Char"/>
    <w:link w:val="739"/>
    <w:uiPriority w:val="29"/>
    <w:rPr>
      <w:i/>
    </w:rPr>
  </w:style>
  <w:style w:type="character" w:styleId="707">
    <w:name w:val="Intense Quote Char"/>
    <w:link w:val="741"/>
    <w:uiPriority w:val="30"/>
    <w:rPr>
      <w:i/>
    </w:rPr>
  </w:style>
  <w:style w:type="character" w:styleId="708">
    <w:name w:val="Header Char"/>
    <w:basedOn w:val="722"/>
    <w:link w:val="743"/>
    <w:uiPriority w:val="99"/>
  </w:style>
  <w:style w:type="character" w:styleId="709">
    <w:name w:val="Caption Char"/>
    <w:basedOn w:val="747"/>
    <w:link w:val="745"/>
    <w:uiPriority w:val="99"/>
  </w:style>
  <w:style w:type="character" w:styleId="710">
    <w:name w:val="Footnote Text Char"/>
    <w:link w:val="876"/>
    <w:uiPriority w:val="99"/>
    <w:rPr>
      <w:sz w:val="18"/>
    </w:rPr>
  </w:style>
  <w:style w:type="character" w:styleId="711">
    <w:name w:val="Endnote Text Char"/>
    <w:link w:val="879"/>
    <w:uiPriority w:val="99"/>
    <w:rPr>
      <w:sz w:val="20"/>
    </w:rPr>
  </w:style>
  <w:style w:type="paragraph" w:styleId="712" w:default="1">
    <w:name w:val="Normal"/>
    <w:qFormat/>
    <w:pPr>
      <w:ind w:firstLine="709"/>
      <w:jc w:val="both"/>
      <w:spacing w:after="0" w:line="240" w:lineRule="auto"/>
    </w:pPr>
    <w:rPr>
      <w:rFonts w:ascii="Times New Roman" w:hAnsi="Times New Roman" w:eastAsia="Calibri" w:cs="Times New Roman"/>
      <w:sz w:val="28"/>
      <w:szCs w:val="28"/>
    </w:rPr>
  </w:style>
  <w:style w:type="paragraph" w:styleId="713">
    <w:name w:val="Heading 1"/>
    <w:basedOn w:val="712"/>
    <w:next w:val="712"/>
    <w:link w:val="903"/>
    <w:qFormat/>
    <w:pPr>
      <w:numPr>
        <w:numId w:val="1"/>
      </w:numPr>
      <w:jc w:val="left"/>
      <w:keepNext/>
      <w:spacing w:before="240" w:after="60"/>
      <w:outlineLvl w:val="0"/>
    </w:pPr>
    <w:rPr>
      <w:rFonts w:ascii="Cambria" w:hAnsi="Cambria" w:eastAsia="Times New Roman"/>
      <w:b/>
      <w:bCs/>
      <w:sz w:val="32"/>
      <w:szCs w:val="32"/>
      <w:lang w:eastAsia="ru-RU"/>
    </w:rPr>
  </w:style>
  <w:style w:type="paragraph" w:styleId="714">
    <w:name w:val="Heading 2"/>
    <w:basedOn w:val="712"/>
    <w:next w:val="712"/>
    <w:link w:val="904"/>
    <w:semiHidden/>
    <w:unhideWhenUsed/>
    <w:qFormat/>
    <w:pPr>
      <w:numPr>
        <w:ilvl w:val="1"/>
        <w:numId w:val="1"/>
      </w:numPr>
      <w:jc w:val="left"/>
      <w:keepNext/>
      <w:spacing w:before="240" w:after="60"/>
      <w:outlineLvl w:val="1"/>
    </w:pPr>
    <w:rPr>
      <w:rFonts w:ascii="Cambria" w:hAnsi="Cambria" w:eastAsia="Times New Roman"/>
      <w:b/>
      <w:bCs/>
      <w:i/>
      <w:iCs/>
      <w:lang w:eastAsia="ru-RU"/>
    </w:rPr>
  </w:style>
  <w:style w:type="paragraph" w:styleId="715">
    <w:name w:val="Heading 3"/>
    <w:basedOn w:val="712"/>
    <w:next w:val="712"/>
    <w:link w:val="905"/>
    <w:qFormat/>
    <w:pPr>
      <w:numPr>
        <w:ilvl w:val="2"/>
        <w:numId w:val="1"/>
      </w:numPr>
      <w:keepNext/>
      <w:outlineLvl w:val="2"/>
    </w:pPr>
    <w:rPr>
      <w:rFonts w:eastAsia="Times New Roman"/>
      <w:szCs w:val="24"/>
      <w:lang w:eastAsia="ru-RU"/>
    </w:rPr>
  </w:style>
  <w:style w:type="paragraph" w:styleId="716">
    <w:name w:val="Heading 4"/>
    <w:basedOn w:val="712"/>
    <w:next w:val="712"/>
    <w:link w:val="906"/>
    <w:semiHidden/>
    <w:unhideWhenUsed/>
    <w:qFormat/>
    <w:pPr>
      <w:numPr>
        <w:ilvl w:val="3"/>
        <w:numId w:val="1"/>
      </w:numPr>
      <w:jc w:val="left"/>
      <w:keepNext/>
      <w:spacing w:before="240" w:after="60"/>
      <w:outlineLvl w:val="3"/>
    </w:pPr>
    <w:rPr>
      <w:rFonts w:ascii="Calibri" w:hAnsi="Calibri" w:eastAsia="Times New Roman"/>
      <w:b/>
      <w:bCs/>
      <w:lang w:eastAsia="ru-RU"/>
    </w:rPr>
  </w:style>
  <w:style w:type="paragraph" w:styleId="717">
    <w:name w:val="Heading 5"/>
    <w:basedOn w:val="712"/>
    <w:next w:val="712"/>
    <w:link w:val="907"/>
    <w:semiHidden/>
    <w:unhideWhenUsed/>
    <w:qFormat/>
    <w:pPr>
      <w:numPr>
        <w:ilvl w:val="4"/>
        <w:numId w:val="1"/>
      </w:numPr>
      <w:jc w:val="left"/>
      <w:spacing w:before="240" w:after="60"/>
      <w:outlineLvl w:val="4"/>
    </w:pPr>
    <w:rPr>
      <w:rFonts w:ascii="Calibri" w:hAnsi="Calibri" w:eastAsia="Times New Roman"/>
      <w:b/>
      <w:bCs/>
      <w:i/>
      <w:iCs/>
      <w:sz w:val="26"/>
      <w:szCs w:val="26"/>
      <w:lang w:eastAsia="ru-RU"/>
    </w:rPr>
  </w:style>
  <w:style w:type="paragraph" w:styleId="718">
    <w:name w:val="Heading 6"/>
    <w:basedOn w:val="712"/>
    <w:next w:val="712"/>
    <w:link w:val="908"/>
    <w:semiHidden/>
    <w:unhideWhenUsed/>
    <w:qFormat/>
    <w:pPr>
      <w:numPr>
        <w:ilvl w:val="5"/>
        <w:numId w:val="1"/>
      </w:numPr>
      <w:jc w:val="left"/>
      <w:spacing w:before="240" w:after="60"/>
      <w:outlineLvl w:val="5"/>
    </w:pPr>
    <w:rPr>
      <w:rFonts w:ascii="Calibri" w:hAnsi="Calibri" w:eastAsia="Times New Roman"/>
      <w:b/>
      <w:bCs/>
      <w:sz w:val="22"/>
      <w:szCs w:val="22"/>
      <w:lang w:eastAsia="ru-RU"/>
    </w:rPr>
  </w:style>
  <w:style w:type="paragraph" w:styleId="719">
    <w:name w:val="Heading 7"/>
    <w:basedOn w:val="712"/>
    <w:next w:val="712"/>
    <w:link w:val="909"/>
    <w:semiHidden/>
    <w:unhideWhenUsed/>
    <w:qFormat/>
    <w:pPr>
      <w:numPr>
        <w:ilvl w:val="6"/>
        <w:numId w:val="1"/>
      </w:numPr>
      <w:jc w:val="left"/>
      <w:spacing w:before="240" w:after="60"/>
      <w:outlineLvl w:val="6"/>
    </w:pPr>
    <w:rPr>
      <w:rFonts w:ascii="Calibri" w:hAnsi="Calibri" w:eastAsia="Times New Roman"/>
      <w:sz w:val="24"/>
      <w:szCs w:val="24"/>
      <w:lang w:eastAsia="ru-RU"/>
    </w:rPr>
  </w:style>
  <w:style w:type="paragraph" w:styleId="720">
    <w:name w:val="Heading 8"/>
    <w:basedOn w:val="712"/>
    <w:next w:val="712"/>
    <w:link w:val="910"/>
    <w:semiHidden/>
    <w:unhideWhenUsed/>
    <w:qFormat/>
    <w:pPr>
      <w:numPr>
        <w:ilvl w:val="7"/>
        <w:numId w:val="1"/>
      </w:numPr>
      <w:jc w:val="left"/>
      <w:spacing w:before="240" w:after="60"/>
      <w:outlineLvl w:val="7"/>
    </w:pPr>
    <w:rPr>
      <w:rFonts w:ascii="Calibri" w:hAnsi="Calibri" w:eastAsia="Times New Roman"/>
      <w:i/>
      <w:iCs/>
      <w:sz w:val="24"/>
      <w:szCs w:val="24"/>
      <w:lang w:eastAsia="ru-RU"/>
    </w:rPr>
  </w:style>
  <w:style w:type="paragraph" w:styleId="721">
    <w:name w:val="Heading 9"/>
    <w:basedOn w:val="712"/>
    <w:next w:val="712"/>
    <w:link w:val="911"/>
    <w:semiHidden/>
    <w:unhideWhenUsed/>
    <w:qFormat/>
    <w:pPr>
      <w:numPr>
        <w:ilvl w:val="8"/>
        <w:numId w:val="1"/>
      </w:numPr>
      <w:jc w:val="left"/>
      <w:spacing w:before="240" w:after="60"/>
      <w:outlineLvl w:val="8"/>
    </w:pPr>
    <w:rPr>
      <w:rFonts w:ascii="Cambria" w:hAnsi="Cambria" w:eastAsia="Times New Roman"/>
      <w:sz w:val="22"/>
      <w:szCs w:val="22"/>
      <w:lang w:eastAsia="ru-RU"/>
    </w:rPr>
  </w:style>
  <w:style w:type="character" w:styleId="722" w:default="1">
    <w:name w:val="Default Paragraph Font"/>
    <w:uiPriority w:val="1"/>
    <w:semiHidden/>
    <w:unhideWhenUsed/>
  </w:style>
  <w:style w:type="table" w:styleId="7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4" w:default="1">
    <w:name w:val="No List"/>
    <w:uiPriority w:val="99"/>
    <w:semiHidden/>
    <w:unhideWhenUsed/>
  </w:style>
  <w:style w:type="character" w:styleId="725" w:customStyle="1">
    <w:name w:val="Heading 1 Char"/>
    <w:basedOn w:val="722"/>
    <w:uiPriority w:val="9"/>
    <w:rPr>
      <w:rFonts w:ascii="Arial" w:hAnsi="Arial" w:eastAsia="Arial" w:cs="Arial"/>
      <w:sz w:val="40"/>
      <w:szCs w:val="40"/>
    </w:rPr>
  </w:style>
  <w:style w:type="character" w:styleId="726" w:customStyle="1">
    <w:name w:val="Heading 2 Char"/>
    <w:basedOn w:val="722"/>
    <w:uiPriority w:val="9"/>
    <w:rPr>
      <w:rFonts w:ascii="Arial" w:hAnsi="Arial" w:eastAsia="Arial" w:cs="Arial"/>
      <w:sz w:val="34"/>
    </w:rPr>
  </w:style>
  <w:style w:type="character" w:styleId="727" w:customStyle="1">
    <w:name w:val="Heading 3 Char"/>
    <w:basedOn w:val="722"/>
    <w:uiPriority w:val="9"/>
    <w:rPr>
      <w:rFonts w:ascii="Arial" w:hAnsi="Arial" w:eastAsia="Arial" w:cs="Arial"/>
      <w:sz w:val="30"/>
      <w:szCs w:val="30"/>
    </w:rPr>
  </w:style>
  <w:style w:type="character" w:styleId="728" w:customStyle="1">
    <w:name w:val="Heading 4 Char"/>
    <w:basedOn w:val="722"/>
    <w:uiPriority w:val="9"/>
    <w:rPr>
      <w:rFonts w:ascii="Arial" w:hAnsi="Arial" w:eastAsia="Arial" w:cs="Arial"/>
      <w:b/>
      <w:bCs/>
      <w:sz w:val="26"/>
      <w:szCs w:val="26"/>
    </w:rPr>
  </w:style>
  <w:style w:type="character" w:styleId="729" w:customStyle="1">
    <w:name w:val="Heading 5 Char"/>
    <w:basedOn w:val="722"/>
    <w:uiPriority w:val="9"/>
    <w:rPr>
      <w:rFonts w:ascii="Arial" w:hAnsi="Arial" w:eastAsia="Arial" w:cs="Arial"/>
      <w:b/>
      <w:bCs/>
      <w:sz w:val="24"/>
      <w:szCs w:val="24"/>
    </w:rPr>
  </w:style>
  <w:style w:type="character" w:styleId="730" w:customStyle="1">
    <w:name w:val="Heading 6 Char"/>
    <w:basedOn w:val="722"/>
    <w:uiPriority w:val="9"/>
    <w:rPr>
      <w:rFonts w:ascii="Arial" w:hAnsi="Arial" w:eastAsia="Arial" w:cs="Arial"/>
      <w:b/>
      <w:bCs/>
      <w:sz w:val="22"/>
      <w:szCs w:val="22"/>
    </w:rPr>
  </w:style>
  <w:style w:type="character" w:styleId="731" w:customStyle="1">
    <w:name w:val="Heading 7 Char"/>
    <w:basedOn w:val="7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2" w:customStyle="1">
    <w:name w:val="Heading 8 Char"/>
    <w:basedOn w:val="722"/>
    <w:uiPriority w:val="9"/>
    <w:rPr>
      <w:rFonts w:ascii="Arial" w:hAnsi="Arial" w:eastAsia="Arial" w:cs="Arial"/>
      <w:i/>
      <w:iCs/>
      <w:sz w:val="22"/>
      <w:szCs w:val="22"/>
    </w:rPr>
  </w:style>
  <w:style w:type="character" w:styleId="733" w:customStyle="1">
    <w:name w:val="Heading 9 Char"/>
    <w:basedOn w:val="722"/>
    <w:uiPriority w:val="9"/>
    <w:rPr>
      <w:rFonts w:ascii="Arial" w:hAnsi="Arial" w:eastAsia="Arial" w:cs="Arial"/>
      <w:i/>
      <w:iCs/>
      <w:sz w:val="21"/>
      <w:szCs w:val="21"/>
    </w:rPr>
  </w:style>
  <w:style w:type="paragraph" w:styleId="734">
    <w:name w:val="No Spacing"/>
    <w:uiPriority w:val="1"/>
    <w:qFormat/>
    <w:pPr>
      <w:spacing w:after="0" w:line="240" w:lineRule="auto"/>
    </w:pPr>
  </w:style>
  <w:style w:type="paragraph" w:styleId="735">
    <w:name w:val="Title"/>
    <w:basedOn w:val="712"/>
    <w:next w:val="712"/>
    <w:link w:val="7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6" w:customStyle="1">
    <w:name w:val="Название Знак"/>
    <w:basedOn w:val="722"/>
    <w:link w:val="735"/>
    <w:uiPriority w:val="10"/>
    <w:rPr>
      <w:sz w:val="48"/>
      <w:szCs w:val="48"/>
    </w:rPr>
  </w:style>
  <w:style w:type="paragraph" w:styleId="737">
    <w:name w:val="Subtitle"/>
    <w:basedOn w:val="712"/>
    <w:next w:val="712"/>
    <w:link w:val="738"/>
    <w:uiPriority w:val="11"/>
    <w:qFormat/>
    <w:pPr>
      <w:spacing w:before="200" w:after="200"/>
    </w:pPr>
    <w:rPr>
      <w:sz w:val="24"/>
      <w:szCs w:val="24"/>
    </w:rPr>
  </w:style>
  <w:style w:type="character" w:styleId="738" w:customStyle="1">
    <w:name w:val="Подзаголовок Знак"/>
    <w:basedOn w:val="722"/>
    <w:link w:val="737"/>
    <w:uiPriority w:val="11"/>
    <w:rPr>
      <w:sz w:val="24"/>
      <w:szCs w:val="24"/>
    </w:rPr>
  </w:style>
  <w:style w:type="paragraph" w:styleId="739">
    <w:name w:val="Quote"/>
    <w:basedOn w:val="712"/>
    <w:next w:val="712"/>
    <w:link w:val="740"/>
    <w:uiPriority w:val="29"/>
    <w:qFormat/>
    <w:pPr>
      <w:ind w:left="720" w:right="720"/>
    </w:pPr>
    <w:rPr>
      <w:i/>
    </w:rPr>
  </w:style>
  <w:style w:type="character" w:styleId="740" w:customStyle="1">
    <w:name w:val="Цитата 2 Знак"/>
    <w:link w:val="739"/>
    <w:uiPriority w:val="29"/>
    <w:rPr>
      <w:i/>
    </w:rPr>
  </w:style>
  <w:style w:type="paragraph" w:styleId="741">
    <w:name w:val="Intense Quote"/>
    <w:basedOn w:val="712"/>
    <w:next w:val="712"/>
    <w:link w:val="74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2" w:customStyle="1">
    <w:name w:val="Выделенная цитата Знак"/>
    <w:link w:val="741"/>
    <w:uiPriority w:val="30"/>
    <w:rPr>
      <w:i/>
    </w:rPr>
  </w:style>
  <w:style w:type="paragraph" w:styleId="743">
    <w:name w:val="Header"/>
    <w:basedOn w:val="712"/>
    <w:link w:val="74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44" w:customStyle="1">
    <w:name w:val="Верхний колонтитул Знак"/>
    <w:basedOn w:val="722"/>
    <w:link w:val="743"/>
    <w:uiPriority w:val="99"/>
  </w:style>
  <w:style w:type="paragraph" w:styleId="745">
    <w:name w:val="Footer"/>
    <w:basedOn w:val="712"/>
    <w:link w:val="74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46" w:customStyle="1">
    <w:name w:val="Footer Char"/>
    <w:basedOn w:val="722"/>
    <w:uiPriority w:val="99"/>
  </w:style>
  <w:style w:type="paragraph" w:styleId="747">
    <w:name w:val="Caption"/>
    <w:basedOn w:val="712"/>
    <w:next w:val="7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8" w:customStyle="1">
    <w:name w:val="Нижний колонтитул Знак"/>
    <w:link w:val="745"/>
    <w:uiPriority w:val="99"/>
  </w:style>
  <w:style w:type="table" w:styleId="749">
    <w:name w:val="Table Grid"/>
    <w:basedOn w:val="72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0" w:customStyle="1">
    <w:name w:val="Table Grid Light"/>
    <w:basedOn w:val="72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 w:customStyle="1">
    <w:name w:val="Plain Table 1"/>
    <w:basedOn w:val="72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 w:customStyle="1">
    <w:name w:val="Plain Table 2"/>
    <w:basedOn w:val="7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 w:customStyle="1">
    <w:name w:val="Plain Table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4" w:customStyle="1">
    <w:name w:val="Plain Table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Plain Table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1 Light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4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8" w:customStyle="1">
    <w:name w:val="Grid Table 4 - Accent 1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9" w:customStyle="1">
    <w:name w:val="Grid Table 4 - Accent 2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0" w:customStyle="1">
    <w:name w:val="Grid Table 4 - Accent 3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1" w:customStyle="1">
    <w:name w:val="Grid Table 4 - Accent 4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2" w:customStyle="1">
    <w:name w:val="Grid Table 4 - Accent 5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3" w:customStyle="1">
    <w:name w:val="Grid Table 4 - Accent 6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4" w:customStyle="1">
    <w:name w:val="Grid Table 5 Dark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6 Colorful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2" w:customStyle="1">
    <w:name w:val="Grid Table 6 Colorful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3" w:customStyle="1">
    <w:name w:val="Grid Table 6 Colorful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4" w:customStyle="1">
    <w:name w:val="Grid Table 6 Colorful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5" w:customStyle="1">
    <w:name w:val="Grid Table 6 Colorful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6" w:customStyle="1">
    <w:name w:val="Grid Table 6 Colorful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7" w:customStyle="1">
    <w:name w:val="Grid Table 6 Colorful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8" w:customStyle="1">
    <w:name w:val="Grid Table 7 Colorful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7 Colorful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9" w:customStyle="1">
    <w:name w:val="List Table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5 Dark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6 Colorful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1" w:customStyle="1">
    <w:name w:val="List Table 6 Colorful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2" w:customStyle="1">
    <w:name w:val="List Table 6 Colorful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3" w:customStyle="1">
    <w:name w:val="List Table 6 Colorful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4" w:customStyle="1">
    <w:name w:val="List Table 6 Colorful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5" w:customStyle="1">
    <w:name w:val="List Table 6 Colorful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6" w:customStyle="1">
    <w:name w:val="List Table 6 Colorful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7" w:customStyle="1">
    <w:name w:val="List Table 7 Colorful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7 Colorful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ned - Accent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5" w:customStyle="1">
    <w:name w:val="Lined - Accent 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6" w:customStyle="1">
    <w:name w:val="Lined - Accent 2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7" w:customStyle="1">
    <w:name w:val="Lined - Accent 3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8" w:customStyle="1">
    <w:name w:val="Lined - Accent 4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9" w:customStyle="1">
    <w:name w:val="Lined - Accent 5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0" w:customStyle="1">
    <w:name w:val="Lined - Accent 6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1" w:customStyle="1">
    <w:name w:val="Bordered &amp; Lined - Accent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2" w:customStyle="1">
    <w:name w:val="Bordered &amp; Lined - Accent 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3" w:customStyle="1">
    <w:name w:val="Bordered &amp; Lined - Accent 2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4" w:customStyle="1">
    <w:name w:val="Bordered &amp; Lined - Accent 3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5" w:customStyle="1">
    <w:name w:val="Bordered &amp; Lined - Accent 4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6" w:customStyle="1">
    <w:name w:val="Bordered &amp; Lined - Accent 5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7" w:customStyle="1">
    <w:name w:val="Bordered &amp; Lined - Accent 6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8" w:customStyle="1">
    <w:name w:val="Bordered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9" w:customStyle="1">
    <w:name w:val="Bordered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0" w:customStyle="1">
    <w:name w:val="Bordered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1" w:customStyle="1">
    <w:name w:val="Bordered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2" w:customStyle="1">
    <w:name w:val="Bordered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3" w:customStyle="1">
    <w:name w:val="Bordered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4" w:customStyle="1">
    <w:name w:val="Bordered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5">
    <w:name w:val="Hyperlink"/>
    <w:uiPriority w:val="99"/>
    <w:unhideWhenUsed/>
    <w:rPr>
      <w:color w:val="0000ff" w:themeColor="hyperlink"/>
      <w:u w:val="single"/>
    </w:rPr>
  </w:style>
  <w:style w:type="paragraph" w:styleId="876">
    <w:name w:val="footnote text"/>
    <w:basedOn w:val="712"/>
    <w:link w:val="877"/>
    <w:uiPriority w:val="99"/>
    <w:semiHidden/>
    <w:unhideWhenUsed/>
    <w:pPr>
      <w:spacing w:after="40"/>
    </w:pPr>
    <w:rPr>
      <w:sz w:val="18"/>
    </w:rPr>
  </w:style>
  <w:style w:type="character" w:styleId="877" w:customStyle="1">
    <w:name w:val="Текст сноски Знак"/>
    <w:link w:val="876"/>
    <w:uiPriority w:val="99"/>
    <w:rPr>
      <w:sz w:val="18"/>
    </w:rPr>
  </w:style>
  <w:style w:type="character" w:styleId="878">
    <w:name w:val="footnote reference"/>
    <w:basedOn w:val="722"/>
    <w:uiPriority w:val="99"/>
    <w:unhideWhenUsed/>
    <w:rPr>
      <w:vertAlign w:val="superscript"/>
    </w:rPr>
  </w:style>
  <w:style w:type="paragraph" w:styleId="879">
    <w:name w:val="endnote text"/>
    <w:basedOn w:val="712"/>
    <w:link w:val="880"/>
    <w:uiPriority w:val="99"/>
    <w:semiHidden/>
    <w:unhideWhenUsed/>
    <w:rPr>
      <w:sz w:val="20"/>
    </w:rPr>
  </w:style>
  <w:style w:type="character" w:styleId="880" w:customStyle="1">
    <w:name w:val="Текст концевой сноски Знак"/>
    <w:link w:val="879"/>
    <w:uiPriority w:val="99"/>
    <w:rPr>
      <w:sz w:val="20"/>
    </w:rPr>
  </w:style>
  <w:style w:type="character" w:styleId="881">
    <w:name w:val="endnote reference"/>
    <w:basedOn w:val="722"/>
    <w:uiPriority w:val="99"/>
    <w:semiHidden/>
    <w:unhideWhenUsed/>
    <w:rPr>
      <w:vertAlign w:val="superscript"/>
    </w:rPr>
  </w:style>
  <w:style w:type="paragraph" w:styleId="882">
    <w:name w:val="toc 1"/>
    <w:basedOn w:val="712"/>
    <w:next w:val="712"/>
    <w:uiPriority w:val="39"/>
    <w:unhideWhenUsed/>
    <w:pPr>
      <w:ind w:firstLine="0"/>
      <w:spacing w:after="57"/>
    </w:pPr>
  </w:style>
  <w:style w:type="paragraph" w:styleId="883">
    <w:name w:val="toc 2"/>
    <w:basedOn w:val="712"/>
    <w:next w:val="712"/>
    <w:uiPriority w:val="39"/>
    <w:unhideWhenUsed/>
    <w:pPr>
      <w:ind w:left="283" w:firstLine="0"/>
      <w:spacing w:after="57"/>
    </w:pPr>
  </w:style>
  <w:style w:type="paragraph" w:styleId="884">
    <w:name w:val="toc 3"/>
    <w:basedOn w:val="712"/>
    <w:next w:val="712"/>
    <w:uiPriority w:val="39"/>
    <w:unhideWhenUsed/>
    <w:pPr>
      <w:ind w:left="567" w:firstLine="0"/>
      <w:spacing w:after="57"/>
    </w:pPr>
  </w:style>
  <w:style w:type="paragraph" w:styleId="885">
    <w:name w:val="toc 4"/>
    <w:basedOn w:val="712"/>
    <w:next w:val="712"/>
    <w:uiPriority w:val="39"/>
    <w:unhideWhenUsed/>
    <w:pPr>
      <w:ind w:left="850" w:firstLine="0"/>
      <w:spacing w:after="57"/>
    </w:pPr>
  </w:style>
  <w:style w:type="paragraph" w:styleId="886">
    <w:name w:val="toc 5"/>
    <w:basedOn w:val="712"/>
    <w:next w:val="712"/>
    <w:uiPriority w:val="39"/>
    <w:unhideWhenUsed/>
    <w:pPr>
      <w:ind w:left="1134" w:firstLine="0"/>
      <w:spacing w:after="57"/>
    </w:pPr>
  </w:style>
  <w:style w:type="paragraph" w:styleId="887">
    <w:name w:val="toc 6"/>
    <w:basedOn w:val="712"/>
    <w:next w:val="712"/>
    <w:uiPriority w:val="39"/>
    <w:unhideWhenUsed/>
    <w:pPr>
      <w:ind w:left="1417" w:firstLine="0"/>
      <w:spacing w:after="57"/>
    </w:pPr>
  </w:style>
  <w:style w:type="paragraph" w:styleId="888">
    <w:name w:val="toc 7"/>
    <w:basedOn w:val="712"/>
    <w:next w:val="712"/>
    <w:uiPriority w:val="39"/>
    <w:unhideWhenUsed/>
    <w:pPr>
      <w:ind w:left="1701" w:firstLine="0"/>
      <w:spacing w:after="57"/>
    </w:pPr>
  </w:style>
  <w:style w:type="paragraph" w:styleId="889">
    <w:name w:val="toc 8"/>
    <w:basedOn w:val="712"/>
    <w:next w:val="712"/>
    <w:uiPriority w:val="39"/>
    <w:unhideWhenUsed/>
    <w:pPr>
      <w:ind w:left="1984" w:firstLine="0"/>
      <w:spacing w:after="57"/>
    </w:pPr>
  </w:style>
  <w:style w:type="paragraph" w:styleId="890">
    <w:name w:val="toc 9"/>
    <w:basedOn w:val="712"/>
    <w:next w:val="712"/>
    <w:uiPriority w:val="39"/>
    <w:unhideWhenUsed/>
    <w:pPr>
      <w:ind w:left="2268" w:firstLine="0"/>
      <w:spacing w:after="57"/>
    </w:pPr>
  </w:style>
  <w:style w:type="paragraph" w:styleId="891">
    <w:name w:val="TOC Heading"/>
    <w:uiPriority w:val="39"/>
    <w:unhideWhenUsed/>
  </w:style>
  <w:style w:type="paragraph" w:styleId="892">
    <w:name w:val="table of figures"/>
    <w:basedOn w:val="712"/>
    <w:next w:val="712"/>
    <w:uiPriority w:val="99"/>
    <w:unhideWhenUsed/>
  </w:style>
  <w:style w:type="paragraph" w:styleId="893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94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895" w:customStyle="1">
    <w:name w:val="ConsPlusTitlePage"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paragraph" w:styleId="896">
    <w:name w:val="Normal (Web)"/>
    <w:basedOn w:val="712"/>
    <w:uiPriority w:val="99"/>
    <w:unhideWhenUsed/>
    <w:pPr>
      <w:ind w:firstLine="0"/>
      <w:jc w:val="left"/>
      <w:spacing w:before="100" w:beforeAutospacing="1" w:after="100" w:afterAutospacing="1"/>
    </w:pPr>
    <w:rPr>
      <w:rFonts w:eastAsiaTheme="minorHAnsi"/>
      <w:sz w:val="24"/>
      <w:szCs w:val="24"/>
      <w:lang w:eastAsia="ru-RU"/>
    </w:rPr>
  </w:style>
  <w:style w:type="paragraph" w:styleId="897">
    <w:name w:val="Plain Text"/>
    <w:basedOn w:val="712"/>
    <w:link w:val="898"/>
    <w:uiPriority w:val="99"/>
    <w:semiHidden/>
    <w:unhideWhenUsed/>
    <w:pPr>
      <w:ind w:firstLine="0"/>
      <w:jc w:val="left"/>
    </w:pPr>
    <w:rPr>
      <w:rFonts w:ascii="Calibri" w:hAnsi="Calibri" w:eastAsiaTheme="minorHAnsi" w:cstheme="minorBidi"/>
      <w:sz w:val="22"/>
      <w:szCs w:val="21"/>
    </w:rPr>
  </w:style>
  <w:style w:type="character" w:styleId="898" w:customStyle="1">
    <w:name w:val="Текст Знак"/>
    <w:basedOn w:val="722"/>
    <w:link w:val="897"/>
    <w:uiPriority w:val="99"/>
    <w:semiHidden/>
    <w:rPr>
      <w:rFonts w:ascii="Calibri" w:hAnsi="Calibri"/>
      <w:szCs w:val="21"/>
    </w:rPr>
  </w:style>
  <w:style w:type="paragraph" w:styleId="899">
    <w:name w:val="List Paragraph"/>
    <w:basedOn w:val="712"/>
    <w:uiPriority w:val="34"/>
    <w:qFormat/>
    <w:pPr>
      <w:contextualSpacing/>
      <w:ind w:left="720"/>
    </w:pPr>
  </w:style>
  <w:style w:type="paragraph" w:styleId="900">
    <w:name w:val="Balloon Text"/>
    <w:basedOn w:val="712"/>
    <w:link w:val="901"/>
    <w:uiPriority w:val="99"/>
    <w:semiHidden/>
    <w:unhideWhenUsed/>
    <w:rPr>
      <w:rFonts w:ascii="Tahoma" w:hAnsi="Tahoma" w:cs="Tahoma"/>
      <w:sz w:val="16"/>
      <w:szCs w:val="16"/>
    </w:rPr>
  </w:style>
  <w:style w:type="character" w:styleId="901" w:customStyle="1">
    <w:name w:val="Текст выноски Знак"/>
    <w:basedOn w:val="722"/>
    <w:link w:val="900"/>
    <w:uiPriority w:val="99"/>
    <w:semiHidden/>
    <w:rPr>
      <w:rFonts w:ascii="Tahoma" w:hAnsi="Tahoma" w:eastAsia="Calibri" w:cs="Tahoma"/>
      <w:sz w:val="16"/>
      <w:szCs w:val="16"/>
    </w:rPr>
  </w:style>
  <w:style w:type="paragraph" w:styleId="902" w:customStyle="1">
    <w:name w:val="Заголовок"/>
    <w:basedOn w:val="712"/>
    <w:pPr>
      <w:ind w:right="3232" w:firstLine="0"/>
    </w:pPr>
    <w:rPr>
      <w:rFonts w:eastAsia="Times New Roman"/>
      <w:b/>
      <w:bCs/>
      <w:lang w:eastAsia="ru-RU"/>
    </w:rPr>
  </w:style>
  <w:style w:type="character" w:styleId="903" w:customStyle="1">
    <w:name w:val="Заголовок 1 Знак"/>
    <w:basedOn w:val="722"/>
    <w:link w:val="713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904" w:customStyle="1">
    <w:name w:val="Заголовок 2 Знак"/>
    <w:basedOn w:val="722"/>
    <w:link w:val="714"/>
    <w:semiHidden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905" w:customStyle="1">
    <w:name w:val="Заголовок 3 Знак"/>
    <w:basedOn w:val="722"/>
    <w:link w:val="715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906" w:customStyle="1">
    <w:name w:val="Заголовок 4 Знак"/>
    <w:basedOn w:val="722"/>
    <w:link w:val="716"/>
    <w:semiHidden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907" w:customStyle="1">
    <w:name w:val="Заголовок 5 Знак"/>
    <w:basedOn w:val="722"/>
    <w:link w:val="717"/>
    <w:semiHidden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908" w:customStyle="1">
    <w:name w:val="Заголовок 6 Знак"/>
    <w:basedOn w:val="722"/>
    <w:link w:val="718"/>
    <w:semiHidden/>
    <w:rPr>
      <w:rFonts w:ascii="Calibri" w:hAnsi="Calibri" w:eastAsia="Times New Roman" w:cs="Times New Roman"/>
      <w:b/>
      <w:bCs/>
      <w:lang w:eastAsia="ru-RU"/>
    </w:rPr>
  </w:style>
  <w:style w:type="character" w:styleId="909" w:customStyle="1">
    <w:name w:val="Заголовок 7 Знак"/>
    <w:basedOn w:val="722"/>
    <w:link w:val="719"/>
    <w:semiHidden/>
    <w:rPr>
      <w:rFonts w:ascii="Calibri" w:hAnsi="Calibri" w:eastAsia="Times New Roman" w:cs="Times New Roman"/>
      <w:sz w:val="24"/>
      <w:szCs w:val="24"/>
      <w:lang w:eastAsia="ru-RU"/>
    </w:rPr>
  </w:style>
  <w:style w:type="character" w:styleId="910" w:customStyle="1">
    <w:name w:val="Заголовок 8 Знак"/>
    <w:basedOn w:val="722"/>
    <w:link w:val="720"/>
    <w:semiHidden/>
    <w:rPr>
      <w:rFonts w:ascii="Calibri" w:hAnsi="Calibri" w:eastAsia="Times New Roman" w:cs="Times New Roman"/>
      <w:i/>
      <w:iCs/>
      <w:sz w:val="24"/>
      <w:szCs w:val="24"/>
      <w:lang w:eastAsia="ru-RU"/>
    </w:rPr>
  </w:style>
  <w:style w:type="character" w:styleId="911" w:customStyle="1">
    <w:name w:val="Заголовок 9 Знак"/>
    <w:basedOn w:val="722"/>
    <w:link w:val="721"/>
    <w:semiHidden/>
    <w:rPr>
      <w:rFonts w:ascii="Cambria" w:hAnsi="Cambria" w:eastAsia="Times New Roman" w:cs="Times New Roman"/>
      <w:lang w:eastAsia="ru-RU"/>
    </w:rPr>
  </w:style>
  <w:style w:type="paragraph" w:styleId="912" w:customStyle="1">
    <w:name w:val="Подпись рукодителя"/>
    <w:basedOn w:val="712"/>
    <w:pPr>
      <w:ind w:firstLine="0"/>
      <w:jc w:val="left"/>
    </w:pPr>
    <w:rPr>
      <w:rFonts w:eastAsia="Times New Roman"/>
      <w:b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Афонина Алла Владимировна</dc:creator>
  <cp:revision>15</cp:revision>
  <dcterms:created xsi:type="dcterms:W3CDTF">2022-07-28T07:07:00Z</dcterms:created>
  <dcterms:modified xsi:type="dcterms:W3CDTF">2023-06-02T11:15:16Z</dcterms:modified>
</cp:coreProperties>
</file>